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58C2C104" w:rsidR="00C06168" w:rsidRPr="008E3862" w:rsidRDefault="00E67DB9" w:rsidP="000D461D">
      <w:pPr>
        <w:rPr>
          <w:b/>
          <w:bCs/>
          <w:sz w:val="32"/>
          <w:szCs w:val="32"/>
        </w:rPr>
      </w:pPr>
      <w:r w:rsidRPr="00E67DB9">
        <w:rPr>
          <w:b/>
          <w:bCs/>
          <w:sz w:val="32"/>
          <w:szCs w:val="32"/>
        </w:rPr>
        <w:t xml:space="preserve">Übersicht: </w:t>
      </w:r>
      <w:r w:rsidR="00951F54" w:rsidRPr="00951F54">
        <w:rPr>
          <w:b/>
          <w:bCs/>
          <w:sz w:val="32"/>
          <w:szCs w:val="32"/>
        </w:rPr>
        <w:t>3 Lerntypen – und die jeweils optimalen Lernmethoden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1843"/>
        <w:gridCol w:w="2525"/>
        <w:gridCol w:w="2556"/>
        <w:gridCol w:w="2326"/>
      </w:tblGrid>
      <w:tr w:rsidR="00134886" w:rsidRPr="00480975" w14:paraId="7461A229" w14:textId="73672933" w:rsidTr="00BF3D02">
        <w:tc>
          <w:tcPr>
            <w:tcW w:w="1346" w:type="dxa"/>
            <w:shd w:val="clear" w:color="auto" w:fill="FAE2D5" w:themeFill="accent2" w:themeFillTint="33"/>
          </w:tcPr>
          <w:p w14:paraId="54C71446" w14:textId="5D19C806" w:rsidR="00134886" w:rsidRPr="00480975" w:rsidRDefault="00134886" w:rsidP="00EE5D5C">
            <w:pPr>
              <w:rPr>
                <w:b/>
                <w:bCs/>
                <w:color w:val="501549" w:themeColor="accent5" w:themeShade="80"/>
              </w:rPr>
            </w:pPr>
          </w:p>
        </w:tc>
        <w:tc>
          <w:tcPr>
            <w:tcW w:w="2693" w:type="dxa"/>
            <w:shd w:val="clear" w:color="auto" w:fill="FAE2D5" w:themeFill="accent2" w:themeFillTint="33"/>
          </w:tcPr>
          <w:p w14:paraId="785030EE" w14:textId="3FC748FF" w:rsidR="00134886" w:rsidRPr="00480975" w:rsidRDefault="00BF3D02" w:rsidP="00EE5D5C">
            <w:pPr>
              <w:rPr>
                <w:b/>
                <w:bCs/>
                <w:color w:val="501549" w:themeColor="accent5" w:themeShade="80"/>
              </w:rPr>
            </w:pPr>
            <w:r w:rsidRPr="00BF3D02">
              <w:rPr>
                <w:b/>
                <w:bCs/>
                <w:color w:val="501549" w:themeColor="accent5" w:themeShade="80"/>
              </w:rPr>
              <w:t>ALS VISUELLER LERNTYP ...</w:t>
            </w:r>
          </w:p>
        </w:tc>
        <w:tc>
          <w:tcPr>
            <w:tcW w:w="2694" w:type="dxa"/>
            <w:shd w:val="clear" w:color="auto" w:fill="FAE2D5" w:themeFill="accent2" w:themeFillTint="33"/>
          </w:tcPr>
          <w:p w14:paraId="25758BDD" w14:textId="2D522AFE" w:rsidR="00134886" w:rsidRPr="00480975" w:rsidRDefault="00BF3D02" w:rsidP="00EE5D5C">
            <w:pPr>
              <w:rPr>
                <w:b/>
                <w:bCs/>
                <w:color w:val="501549" w:themeColor="accent5" w:themeShade="80"/>
              </w:rPr>
            </w:pPr>
            <w:r w:rsidRPr="00BF3D02">
              <w:rPr>
                <w:b/>
                <w:bCs/>
                <w:color w:val="501549" w:themeColor="accent5" w:themeShade="80"/>
              </w:rPr>
              <w:t>ALS AUDITIVER LERNTYP ...</w:t>
            </w:r>
          </w:p>
        </w:tc>
        <w:tc>
          <w:tcPr>
            <w:tcW w:w="2409" w:type="dxa"/>
            <w:shd w:val="clear" w:color="auto" w:fill="FAE2D5" w:themeFill="accent2" w:themeFillTint="33"/>
          </w:tcPr>
          <w:p w14:paraId="57A47A25" w14:textId="5C498072" w:rsidR="00134886" w:rsidRPr="00480975" w:rsidRDefault="00BF3D02" w:rsidP="00EE5D5C">
            <w:pPr>
              <w:rPr>
                <w:b/>
                <w:bCs/>
                <w:color w:val="501549" w:themeColor="accent5" w:themeShade="80"/>
              </w:rPr>
            </w:pPr>
            <w:r w:rsidRPr="00BF3D02">
              <w:rPr>
                <w:b/>
                <w:bCs/>
                <w:color w:val="501549" w:themeColor="accent5" w:themeShade="80"/>
              </w:rPr>
              <w:t>ALS KINÄSTHETISCHER LERNTYP ...</w:t>
            </w:r>
          </w:p>
        </w:tc>
      </w:tr>
      <w:tr w:rsidR="00134886" w14:paraId="42B4BE58" w14:textId="5BEEB794" w:rsidTr="00BF3D02">
        <w:tc>
          <w:tcPr>
            <w:tcW w:w="1346" w:type="dxa"/>
          </w:tcPr>
          <w:p w14:paraId="510FF89F" w14:textId="77777777" w:rsidR="00BF3D02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Kennzeichen</w:t>
            </w:r>
          </w:p>
          <w:p w14:paraId="6096EBD7" w14:textId="6CC1D855" w:rsidR="00134886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des Lerntyps</w:t>
            </w:r>
          </w:p>
        </w:tc>
        <w:tc>
          <w:tcPr>
            <w:tcW w:w="2693" w:type="dxa"/>
          </w:tcPr>
          <w:p w14:paraId="348CB044" w14:textId="4BE5A9F0" w:rsidR="00134886" w:rsidRPr="00480975" w:rsidRDefault="00BF3D02" w:rsidP="00BF3D02">
            <w:r>
              <w:t>... nehmen Sie Informationen</w:t>
            </w:r>
            <w:r w:rsidR="00F325DD">
              <w:t xml:space="preserve"> </w:t>
            </w:r>
            <w:r>
              <w:t>am besten auf, wenn Sie sie</w:t>
            </w:r>
            <w:r w:rsidR="00F325DD">
              <w:t xml:space="preserve"> </w:t>
            </w:r>
            <w:r>
              <w:t>sehen. Was Sie hören, wandeln</w:t>
            </w:r>
            <w:r w:rsidR="00F325DD">
              <w:t xml:space="preserve"> </w:t>
            </w:r>
            <w:r>
              <w:t>Sie im Kopf in Bilder um. Wahrscheinlich</w:t>
            </w:r>
            <w:r w:rsidR="00F325DD">
              <w:t xml:space="preserve"> </w:t>
            </w:r>
            <w:r>
              <w:t>können Sie sich</w:t>
            </w:r>
            <w:r w:rsidR="00F325DD">
              <w:t xml:space="preserve"> </w:t>
            </w:r>
            <w:r>
              <w:t>schriftlich gut ausdrücken, und</w:t>
            </w:r>
            <w:r w:rsidR="00F325DD">
              <w:t xml:space="preserve"> </w:t>
            </w:r>
            <w:r>
              <w:t>Sie haben eine schöne Handschrift.</w:t>
            </w:r>
          </w:p>
        </w:tc>
        <w:tc>
          <w:tcPr>
            <w:tcW w:w="2694" w:type="dxa"/>
          </w:tcPr>
          <w:p w14:paraId="2E48144E" w14:textId="23CAC64A" w:rsidR="00134886" w:rsidRPr="00480975" w:rsidRDefault="00BF3D02" w:rsidP="00BF3D02">
            <w:r>
              <w:t>... nehmen Sie Informationen am</w:t>
            </w:r>
            <w:r w:rsidR="00F325DD">
              <w:t xml:space="preserve"> </w:t>
            </w:r>
            <w:r>
              <w:t>besten auf, wenn Sie sie hören.</w:t>
            </w:r>
            <w:r w:rsidR="00F325DD">
              <w:t xml:space="preserve"> </w:t>
            </w:r>
            <w:r>
              <w:t>Sie können auch vergleichsweise</w:t>
            </w:r>
            <w:r w:rsidR="00F325DD">
              <w:t xml:space="preserve"> </w:t>
            </w:r>
            <w:r>
              <w:t>lange konzentriert zuhören</w:t>
            </w:r>
            <w:r w:rsidR="00F325DD">
              <w:t xml:space="preserve"> </w:t>
            </w:r>
            <w:r>
              <w:t>(während andere längst im Kopf</w:t>
            </w:r>
            <w:r w:rsidR="00F325DD">
              <w:t xml:space="preserve"> </w:t>
            </w:r>
            <w:r>
              <w:t>abschweifen). Üblicherweise fällt</w:t>
            </w:r>
            <w:r w:rsidR="00F325DD">
              <w:t xml:space="preserve"> </w:t>
            </w:r>
            <w:r>
              <w:t>es Ihnen leicht, etwas aus wendig</w:t>
            </w:r>
            <w:r w:rsidR="00F325DD">
              <w:t xml:space="preserve"> </w:t>
            </w:r>
            <w:r>
              <w:t>zu lernen.</w:t>
            </w:r>
          </w:p>
        </w:tc>
        <w:tc>
          <w:tcPr>
            <w:tcW w:w="2409" w:type="dxa"/>
          </w:tcPr>
          <w:p w14:paraId="7005964F" w14:textId="35775EFB" w:rsidR="00134886" w:rsidRPr="00480975" w:rsidRDefault="00BF3D02" w:rsidP="00BF3D02">
            <w:r>
              <w:t>... wollen Sie lieber handeln als reden,</w:t>
            </w:r>
            <w:r w:rsidR="00F325DD">
              <w:t xml:space="preserve"> </w:t>
            </w:r>
            <w:r>
              <w:t>hören oder lesen. Sie begreifen eine</w:t>
            </w:r>
            <w:r w:rsidR="00F325DD">
              <w:t xml:space="preserve"> </w:t>
            </w:r>
            <w:r>
              <w:t>Methode, indem Sie sie aus probieren, und behalten Informationen,</w:t>
            </w:r>
            <w:r w:rsidR="00F325DD">
              <w:t xml:space="preserve"> </w:t>
            </w:r>
            <w:r>
              <w:t>sobald Sie sie praktisch umgesetzt</w:t>
            </w:r>
            <w:r w:rsidR="00F325DD">
              <w:t xml:space="preserve"> </w:t>
            </w:r>
            <w:r>
              <w:t>haben. Möglicherweise schreiben Sie</w:t>
            </w:r>
            <w:r w:rsidR="00F325DD">
              <w:t xml:space="preserve"> </w:t>
            </w:r>
            <w:r>
              <w:t>ungern und legen damit wenig Wert</w:t>
            </w:r>
            <w:r w:rsidR="00F325DD">
              <w:t xml:space="preserve"> </w:t>
            </w:r>
            <w:r>
              <w:t>auf eine ordentliche Handschrift.</w:t>
            </w:r>
          </w:p>
        </w:tc>
      </w:tr>
      <w:tr w:rsidR="00134886" w14:paraId="4712FEEF" w14:textId="216443F8" w:rsidTr="00BF3D02">
        <w:tc>
          <w:tcPr>
            <w:tcW w:w="1346" w:type="dxa"/>
          </w:tcPr>
          <w:p w14:paraId="21D067C3" w14:textId="77777777" w:rsidR="00BF3D02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Geeignete</w:t>
            </w:r>
          </w:p>
          <w:p w14:paraId="2AF70EC3" w14:textId="5329719D" w:rsidR="00134886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Arbeitsumgebung</w:t>
            </w:r>
          </w:p>
        </w:tc>
        <w:tc>
          <w:tcPr>
            <w:tcW w:w="2693" w:type="dxa"/>
          </w:tcPr>
          <w:p w14:paraId="321FCDEF" w14:textId="713E0B90" w:rsidR="00134886" w:rsidRPr="00480975" w:rsidRDefault="00BF3D02" w:rsidP="00BF3D02">
            <w:r>
              <w:t>Sie brauchen eine angenehme</w:t>
            </w:r>
            <w:r w:rsidR="00F325DD">
              <w:t xml:space="preserve"> </w:t>
            </w:r>
            <w:r>
              <w:t>und geordnete Lernumgebung,</w:t>
            </w:r>
            <w:r w:rsidR="00F325DD">
              <w:t xml:space="preserve"> </w:t>
            </w:r>
            <w:r>
              <w:t>denn Sie lassen sich durch visuelle</w:t>
            </w:r>
            <w:r w:rsidR="00F325DD">
              <w:t xml:space="preserve"> </w:t>
            </w:r>
            <w:r>
              <w:t>Unordnung leicht ablenken.</w:t>
            </w:r>
          </w:p>
        </w:tc>
        <w:tc>
          <w:tcPr>
            <w:tcW w:w="2694" w:type="dxa"/>
          </w:tcPr>
          <w:p w14:paraId="0FDE3125" w14:textId="555EFD06" w:rsidR="00134886" w:rsidRPr="00480975" w:rsidRDefault="00BF3D02" w:rsidP="00BF3D02">
            <w:r>
              <w:t>Sie fühlen sich schnell durch Geräusche gestört. Vermeiden Sie</w:t>
            </w:r>
            <w:r w:rsidR="00F325DD">
              <w:t xml:space="preserve"> </w:t>
            </w:r>
            <w:r>
              <w:t>Hintergrundmusik und andere</w:t>
            </w:r>
            <w:r w:rsidR="00F325DD">
              <w:t xml:space="preserve"> </w:t>
            </w:r>
            <w:r>
              <w:t>akustische Ablenkungen.</w:t>
            </w:r>
          </w:p>
        </w:tc>
        <w:tc>
          <w:tcPr>
            <w:tcW w:w="2409" w:type="dxa"/>
          </w:tcPr>
          <w:p w14:paraId="1E9050E5" w14:textId="1E3FC7BC" w:rsidR="00134886" w:rsidRPr="00480975" w:rsidRDefault="00134886" w:rsidP="00BF3D02"/>
        </w:tc>
      </w:tr>
      <w:tr w:rsidR="00134886" w14:paraId="6BCBF2F3" w14:textId="217C25D4" w:rsidTr="00BF3D02">
        <w:tc>
          <w:tcPr>
            <w:tcW w:w="1346" w:type="dxa"/>
          </w:tcPr>
          <w:p w14:paraId="2541F568" w14:textId="77777777" w:rsidR="00BF3D02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Gute Lernmethoden</w:t>
            </w:r>
          </w:p>
          <w:p w14:paraId="3ECADFCE" w14:textId="6E705A84" w:rsidR="00134886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für Sie</w:t>
            </w:r>
          </w:p>
        </w:tc>
        <w:tc>
          <w:tcPr>
            <w:tcW w:w="2693" w:type="dxa"/>
          </w:tcPr>
          <w:p w14:paraId="71A035A2" w14:textId="1E48CB54" w:rsidR="00134886" w:rsidRPr="00480975" w:rsidRDefault="00BF3D02" w:rsidP="00BF3D02">
            <w:r>
              <w:t>Lesen (vor allem Bebildertes),</w:t>
            </w:r>
            <w:r>
              <w:t xml:space="preserve"> </w:t>
            </w:r>
            <w:r>
              <w:t>selbst schreiben, Eselsbrücken</w:t>
            </w:r>
            <w:r>
              <w:t xml:space="preserve"> </w:t>
            </w:r>
            <w:r>
              <w:t>erfinden, YouTube‐Videos und</w:t>
            </w:r>
            <w:r>
              <w:t xml:space="preserve"> </w:t>
            </w:r>
            <w:r>
              <w:t>TED‐Talks ansehen. Lassen Sie</w:t>
            </w:r>
            <w:r>
              <w:t xml:space="preserve"> </w:t>
            </w:r>
            <w:r>
              <w:t>sich immer schriftliche Unterlagen</w:t>
            </w:r>
            <w:r>
              <w:t xml:space="preserve"> </w:t>
            </w:r>
            <w:r>
              <w:t>geben, und markieren Sie</w:t>
            </w:r>
            <w:r>
              <w:t xml:space="preserve"> </w:t>
            </w:r>
            <w:r>
              <w:t>dort wichtige Stellen. Machen</w:t>
            </w:r>
            <w:r w:rsidR="00F325DD">
              <w:t xml:space="preserve"> </w:t>
            </w:r>
            <w:r>
              <w:t>Sie sich in Seminaren, aber auch</w:t>
            </w:r>
            <w:r w:rsidR="00F325DD">
              <w:t xml:space="preserve"> </w:t>
            </w:r>
            <w:r>
              <w:t>zu informativen Videos konsequent</w:t>
            </w:r>
            <w:r w:rsidR="00F325DD">
              <w:t xml:space="preserve"> </w:t>
            </w:r>
            <w:r>
              <w:t>Notizen und Skizzen</w:t>
            </w:r>
            <w:r>
              <w:t xml:space="preserve"> </w:t>
            </w:r>
            <w:r>
              <w:t>(z. B. MindMaps). Übersetzen</w:t>
            </w:r>
            <w:r w:rsidR="00F325DD">
              <w:t xml:space="preserve"> </w:t>
            </w:r>
            <w:r>
              <w:t>Sie Zahlen in Charts.</w:t>
            </w:r>
          </w:p>
        </w:tc>
        <w:tc>
          <w:tcPr>
            <w:tcW w:w="2694" w:type="dxa"/>
          </w:tcPr>
          <w:p w14:paraId="35F3790B" w14:textId="72F00587" w:rsidR="00134886" w:rsidRPr="00480975" w:rsidRDefault="00BF3D02" w:rsidP="00BF3D02">
            <w:r>
              <w:t>Vorträge, Diskussionen, Arbeitsgruppen,</w:t>
            </w:r>
            <w:r w:rsidR="00F325DD">
              <w:t xml:space="preserve"> </w:t>
            </w:r>
            <w:r>
              <w:t>Podcasts, Wortsendungen im Radio und Diskussionen</w:t>
            </w:r>
            <w:r w:rsidR="00F325DD">
              <w:t xml:space="preserve"> </w:t>
            </w:r>
            <w:r>
              <w:t>im Fernsehen. Besorgen Sie sich</w:t>
            </w:r>
            <w:r w:rsidR="00F325DD">
              <w:t xml:space="preserve"> </w:t>
            </w:r>
            <w:r>
              <w:t>Sachbücher in der Audioversion,</w:t>
            </w:r>
            <w:r w:rsidR="00F325DD">
              <w:t xml:space="preserve"> </w:t>
            </w:r>
            <w:r>
              <w:t>und leisten Sie sich regelmäßig</w:t>
            </w:r>
            <w:r w:rsidR="00F325DD">
              <w:t xml:space="preserve"> </w:t>
            </w:r>
            <w:r>
              <w:t>den Luxus von Nachmittagen mit</w:t>
            </w:r>
            <w:r w:rsidR="00F325DD">
              <w:t xml:space="preserve"> </w:t>
            </w:r>
            <w:r>
              <w:t>Hörbüchern! Was Sie nur lesend</w:t>
            </w:r>
            <w:r w:rsidR="00F325DD">
              <w:t xml:space="preserve"> </w:t>
            </w:r>
            <w:r>
              <w:t>aufnehmen können, sollten Sie</w:t>
            </w:r>
            <w:r>
              <w:t xml:space="preserve"> </w:t>
            </w:r>
            <w:r>
              <w:t>anschließend einem anderen erzählen.</w:t>
            </w:r>
            <w:r w:rsidR="00F325DD">
              <w:t xml:space="preserve"> </w:t>
            </w:r>
            <w:r>
              <w:t>Lesen Sie sich wichtige</w:t>
            </w:r>
            <w:r w:rsidR="00F325DD">
              <w:t xml:space="preserve"> </w:t>
            </w:r>
            <w:r>
              <w:t>Inhalte selbst laut vor.</w:t>
            </w:r>
          </w:p>
        </w:tc>
        <w:tc>
          <w:tcPr>
            <w:tcW w:w="2409" w:type="dxa"/>
          </w:tcPr>
          <w:p w14:paraId="32C3F82E" w14:textId="3F8381C0" w:rsidR="00134886" w:rsidRPr="00480975" w:rsidRDefault="00BF3D02" w:rsidP="00BF3D02">
            <w:r>
              <w:t>Aktive Gruppen, Rollenspiele, You‐Tube‐Videos, Exkursionen. Halten</w:t>
            </w:r>
            <w:r w:rsidR="00F325DD">
              <w:t xml:space="preserve"> </w:t>
            </w:r>
            <w:r>
              <w:t>Sie bei der Lektüre/bei Vorträgen</w:t>
            </w:r>
            <w:r w:rsidR="00F325DD">
              <w:t xml:space="preserve"> </w:t>
            </w:r>
            <w:r>
              <w:t>wichtige Inhalte in Stichpunkten</w:t>
            </w:r>
            <w:r w:rsidR="00F325DD">
              <w:t xml:space="preserve"> </w:t>
            </w:r>
            <w:r>
              <w:t>(also: in eigener Formulierung) und</w:t>
            </w:r>
            <w:r w:rsidR="00F325DD">
              <w:t xml:space="preserve"> </w:t>
            </w:r>
            <w:r>
              <w:t>in eigener Ordnung fest, beispielsweise</w:t>
            </w:r>
            <w:r w:rsidR="00F325DD">
              <w:t xml:space="preserve"> </w:t>
            </w:r>
            <w:r>
              <w:t>in Form von MindMaps</w:t>
            </w:r>
            <w:r>
              <w:t xml:space="preserve"> - </w:t>
            </w:r>
            <w:r>
              <w:t>ob digital oder auf Karteikarten.</w:t>
            </w:r>
            <w:r w:rsidR="00F325DD">
              <w:t xml:space="preserve"> </w:t>
            </w:r>
            <w:r>
              <w:t>Diskutieren Sie mit anderen über</w:t>
            </w:r>
            <w:r w:rsidR="00F325DD">
              <w:t xml:space="preserve"> </w:t>
            </w:r>
            <w:r>
              <w:t>Lerninhalte, und bewegen Sie sich</w:t>
            </w:r>
            <w:r w:rsidR="00F325DD">
              <w:t xml:space="preserve"> </w:t>
            </w:r>
            <w:r>
              <w:t>während des Lernens.</w:t>
            </w:r>
          </w:p>
        </w:tc>
      </w:tr>
      <w:tr w:rsidR="00134886" w14:paraId="23A7AC50" w14:textId="2314BF19" w:rsidTr="00BF3D02">
        <w:tc>
          <w:tcPr>
            <w:tcW w:w="1346" w:type="dxa"/>
          </w:tcPr>
          <w:p w14:paraId="43B75D33" w14:textId="77777777" w:rsidR="00BF3D02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Weniger</w:t>
            </w:r>
          </w:p>
          <w:p w14:paraId="6C7F336F" w14:textId="77777777" w:rsidR="00BF3D02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geeignete</w:t>
            </w:r>
          </w:p>
          <w:p w14:paraId="0A34414D" w14:textId="66E51538" w:rsidR="00134886" w:rsidRPr="00BF3D02" w:rsidRDefault="00BF3D02" w:rsidP="00BF3D02">
            <w:pPr>
              <w:rPr>
                <w:b/>
                <w:bCs/>
              </w:rPr>
            </w:pPr>
            <w:r w:rsidRPr="00BF3D02">
              <w:rPr>
                <w:b/>
                <w:bCs/>
              </w:rPr>
              <w:t>Methoden</w:t>
            </w:r>
          </w:p>
        </w:tc>
        <w:tc>
          <w:tcPr>
            <w:tcW w:w="2693" w:type="dxa"/>
          </w:tcPr>
          <w:p w14:paraId="017506F1" w14:textId="4586E954" w:rsidR="00134886" w:rsidRPr="00480975" w:rsidRDefault="00BF3D02" w:rsidP="00BF3D02">
            <w:r>
              <w:t>Klassische Frontallehre,</w:t>
            </w:r>
            <w:r>
              <w:t xml:space="preserve"> </w:t>
            </w:r>
            <w:r>
              <w:t>Vorträge, Audiodateien,</w:t>
            </w:r>
            <w:r>
              <w:t xml:space="preserve"> </w:t>
            </w:r>
            <w:r>
              <w:t>Podcasts.</w:t>
            </w:r>
          </w:p>
        </w:tc>
        <w:tc>
          <w:tcPr>
            <w:tcW w:w="2694" w:type="dxa"/>
          </w:tcPr>
          <w:p w14:paraId="771266B5" w14:textId="2C471F22" w:rsidR="00134886" w:rsidRPr="00480975" w:rsidRDefault="00BF3D02" w:rsidP="00BF3D02">
            <w:r w:rsidRPr="00BF3D02">
              <w:t>Lesen, Bildtafeln, Tabellen.</w:t>
            </w:r>
          </w:p>
        </w:tc>
        <w:tc>
          <w:tcPr>
            <w:tcW w:w="2409" w:type="dxa"/>
          </w:tcPr>
          <w:p w14:paraId="6DF3F95F" w14:textId="44EC7311" w:rsidR="00134886" w:rsidRPr="00480975" w:rsidRDefault="00BF3D02" w:rsidP="00BF3D02">
            <w:r>
              <w:t>Vorträge und Seminare, bei denen</w:t>
            </w:r>
            <w:r>
              <w:t xml:space="preserve"> </w:t>
            </w:r>
            <w:r>
              <w:t>Sie lange still sitzen</w:t>
            </w:r>
          </w:p>
        </w:tc>
      </w:tr>
    </w:tbl>
    <w:p w14:paraId="07BDDA59" w14:textId="77777777" w:rsidR="005639AB" w:rsidRPr="00BF3D02" w:rsidRDefault="005639AB" w:rsidP="005639AB">
      <w:pPr>
        <w:rPr>
          <w:b/>
          <w:bCs/>
        </w:rPr>
      </w:pPr>
    </w:p>
    <w:sectPr w:rsidR="005639AB" w:rsidRPr="00BF3D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0D461D"/>
    <w:rsid w:val="00101D71"/>
    <w:rsid w:val="00134886"/>
    <w:rsid w:val="0014030C"/>
    <w:rsid w:val="00153B61"/>
    <w:rsid w:val="001779E7"/>
    <w:rsid w:val="00230DF9"/>
    <w:rsid w:val="002D0B63"/>
    <w:rsid w:val="00326CE9"/>
    <w:rsid w:val="0033339B"/>
    <w:rsid w:val="004011D4"/>
    <w:rsid w:val="00480975"/>
    <w:rsid w:val="005639AB"/>
    <w:rsid w:val="00567B3C"/>
    <w:rsid w:val="005C5403"/>
    <w:rsid w:val="007113A5"/>
    <w:rsid w:val="007240F0"/>
    <w:rsid w:val="00733F1B"/>
    <w:rsid w:val="007F2850"/>
    <w:rsid w:val="008E3862"/>
    <w:rsid w:val="00951F54"/>
    <w:rsid w:val="009660D5"/>
    <w:rsid w:val="00AB2CC7"/>
    <w:rsid w:val="00BF3D02"/>
    <w:rsid w:val="00C06168"/>
    <w:rsid w:val="00C95C93"/>
    <w:rsid w:val="00C9751C"/>
    <w:rsid w:val="00E67DB9"/>
    <w:rsid w:val="00EE5D5C"/>
    <w:rsid w:val="00F0079C"/>
    <w:rsid w:val="00F05602"/>
    <w:rsid w:val="00F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2026-03-27T09:49:00Z</dcterms:created>
  <dcterms:modified xsi:type="dcterms:W3CDTF">2026-03-27T10:15:00Z</dcterms:modified>
</cp:coreProperties>
</file>