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02F1" w14:textId="4EF822E7" w:rsidR="00C06168" w:rsidRPr="008E3862" w:rsidRDefault="005C5403" w:rsidP="005C5403">
      <w:pPr>
        <w:rPr>
          <w:b/>
          <w:bCs/>
          <w:sz w:val="32"/>
          <w:szCs w:val="32"/>
        </w:rPr>
      </w:pPr>
      <w:r w:rsidRPr="005C5403">
        <w:rPr>
          <w:b/>
          <w:bCs/>
          <w:sz w:val="32"/>
          <w:szCs w:val="32"/>
        </w:rPr>
        <w:t>Checkliste:</w:t>
      </w:r>
      <w:r>
        <w:rPr>
          <w:b/>
          <w:bCs/>
          <w:sz w:val="32"/>
          <w:szCs w:val="32"/>
        </w:rPr>
        <w:t xml:space="preserve"> </w:t>
      </w:r>
      <w:r w:rsidRPr="005C5403">
        <w:rPr>
          <w:b/>
          <w:bCs/>
          <w:sz w:val="32"/>
          <w:szCs w:val="32"/>
        </w:rPr>
        <w:t>Dos &amp; Don’ts für wirksame</w:t>
      </w:r>
      <w:r>
        <w:rPr>
          <w:b/>
          <w:bCs/>
          <w:sz w:val="32"/>
          <w:szCs w:val="32"/>
        </w:rPr>
        <w:t xml:space="preserve"> </w:t>
      </w:r>
      <w:r w:rsidRPr="005C5403">
        <w:rPr>
          <w:b/>
          <w:bCs/>
          <w:sz w:val="32"/>
          <w:szCs w:val="32"/>
        </w:rPr>
        <w:t>Online‐Meetings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6449"/>
        <w:gridCol w:w="1134"/>
      </w:tblGrid>
      <w:tr w:rsidR="00567B3C" w:rsidRPr="00C9751C" w14:paraId="7461A229" w14:textId="12400003" w:rsidTr="005639AB">
        <w:tc>
          <w:tcPr>
            <w:tcW w:w="6449" w:type="dxa"/>
            <w:shd w:val="clear" w:color="auto" w:fill="FAE2D5" w:themeFill="accent2" w:themeFillTint="33"/>
          </w:tcPr>
          <w:p w14:paraId="54C71446" w14:textId="5FC0D1BE" w:rsidR="00567B3C" w:rsidRPr="00C9751C" w:rsidRDefault="00567B3C" w:rsidP="00EE5D5C">
            <w:pPr>
              <w:rPr>
                <w:color w:val="501549" w:themeColor="accent5" w:themeShade="80"/>
              </w:rPr>
            </w:pPr>
            <w:r>
              <w:rPr>
                <w:b/>
                <w:bCs/>
                <w:color w:val="501549" w:themeColor="accent5" w:themeShade="80"/>
              </w:rPr>
              <w:t>DOS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785030EE" w14:textId="653B5FE4" w:rsidR="00567B3C" w:rsidRPr="00EE5D5C" w:rsidRDefault="00567B3C" w:rsidP="00EE5D5C">
            <w:pPr>
              <w:rPr>
                <w:b/>
                <w:bCs/>
                <w:color w:val="501549" w:themeColor="accent5" w:themeShade="80"/>
              </w:rPr>
            </w:pPr>
          </w:p>
        </w:tc>
      </w:tr>
      <w:tr w:rsidR="00567B3C" w14:paraId="42B4BE58" w14:textId="77777777" w:rsidTr="005639AB">
        <w:tc>
          <w:tcPr>
            <w:tcW w:w="6449" w:type="dxa"/>
          </w:tcPr>
          <w:p w14:paraId="6096EBD7" w14:textId="2B91BB6A" w:rsidR="00567B3C" w:rsidRDefault="00567B3C" w:rsidP="00567B3C">
            <w:r>
              <w:t>Sichtbarkeit neu definieren: Sichtbarkeit bedeutet,</w:t>
            </w:r>
            <w:r>
              <w:t xml:space="preserve"> </w:t>
            </w:r>
            <w:r>
              <w:t>dass Menschen gehört, wahrgenommen und in ihrer</w:t>
            </w:r>
            <w:r>
              <w:t xml:space="preserve"> </w:t>
            </w:r>
            <w:r>
              <w:t>Wirkung präsent sind – egal ob durch Stimme, Ideen</w:t>
            </w:r>
            <w:r>
              <w:t xml:space="preserve"> </w:t>
            </w:r>
            <w:r>
              <w:t>oder Körpersprache. Führung heißt: Räume schaffen,</w:t>
            </w:r>
            <w:r>
              <w:t xml:space="preserve"> </w:t>
            </w:r>
            <w:r>
              <w:t>in denen diese Präsenz differenziert möglich ist.</w:t>
            </w:r>
          </w:p>
        </w:tc>
        <w:tc>
          <w:tcPr>
            <w:tcW w:w="1134" w:type="dxa"/>
          </w:tcPr>
          <w:p w14:paraId="348CB044" w14:textId="15543B24" w:rsidR="00567B3C" w:rsidRDefault="00567B3C" w:rsidP="00EE5D5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567B3C" w14:paraId="4712FEEF" w14:textId="77777777" w:rsidTr="005639AB">
        <w:tc>
          <w:tcPr>
            <w:tcW w:w="6449" w:type="dxa"/>
          </w:tcPr>
          <w:p w14:paraId="2AF70EC3" w14:textId="3B53EA16" w:rsidR="00567B3C" w:rsidRDefault="00567B3C" w:rsidP="00567B3C">
            <w:r>
              <w:t>Unterschiedliche Bedürfnisse anerkennen:</w:t>
            </w:r>
            <w:r>
              <w:t xml:space="preserve"> </w:t>
            </w:r>
            <w:r>
              <w:t>Nicht jede Person fühlt sich mit permanenter Video‐</w:t>
            </w:r>
            <w:r>
              <w:t xml:space="preserve"> </w:t>
            </w:r>
            <w:r>
              <w:t>Präsenz wohl. Flexible Regeln und transparente</w:t>
            </w:r>
            <w:r>
              <w:t xml:space="preserve"> </w:t>
            </w:r>
            <w:r>
              <w:t>Absprachen signalisieren: Unterschiedlichkeit ist</w:t>
            </w:r>
            <w:r>
              <w:t xml:space="preserve"> </w:t>
            </w:r>
            <w:r>
              <w:t>willkommen und ein Gewinn.</w:t>
            </w:r>
          </w:p>
        </w:tc>
        <w:tc>
          <w:tcPr>
            <w:tcW w:w="1134" w:type="dxa"/>
          </w:tcPr>
          <w:p w14:paraId="321FCDEF" w14:textId="5B6D9BA2" w:rsidR="00567B3C" w:rsidRDefault="00567B3C" w:rsidP="00EE5D5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567B3C" w14:paraId="6BCBF2F3" w14:textId="77777777" w:rsidTr="005639AB">
        <w:tc>
          <w:tcPr>
            <w:tcW w:w="6449" w:type="dxa"/>
          </w:tcPr>
          <w:p w14:paraId="3ECADFCE" w14:textId="68C182E1" w:rsidR="00567B3C" w:rsidRDefault="00567B3C" w:rsidP="00567B3C">
            <w:r>
              <w:t>Technik als Kulturfaktor begreifen: Klarer Ton,</w:t>
            </w:r>
            <w:r>
              <w:t xml:space="preserve"> </w:t>
            </w:r>
            <w:r>
              <w:t>verlässliches Bild, stabile Verbindung – Technik ist</w:t>
            </w:r>
            <w:r>
              <w:t xml:space="preserve"> </w:t>
            </w:r>
            <w:r>
              <w:t>nicht Beiwerk, sondern Teil der Meeting‐Kultur.</w:t>
            </w:r>
            <w:r>
              <w:t xml:space="preserve"> </w:t>
            </w:r>
            <w:r>
              <w:t>Kurze Vorab‐Checks stellen sicher, dass niemand</w:t>
            </w:r>
            <w:r>
              <w:t xml:space="preserve"> </w:t>
            </w:r>
            <w:r>
              <w:t>„Randfigur im Kachel‐Layout“ bleibt.</w:t>
            </w:r>
          </w:p>
        </w:tc>
        <w:tc>
          <w:tcPr>
            <w:tcW w:w="1134" w:type="dxa"/>
          </w:tcPr>
          <w:p w14:paraId="71A035A2" w14:textId="16F8819A" w:rsidR="00567B3C" w:rsidRDefault="00567B3C" w:rsidP="00EE5D5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567B3C" w14:paraId="23A7AC50" w14:textId="77777777" w:rsidTr="005639AB">
        <w:tc>
          <w:tcPr>
            <w:tcW w:w="6449" w:type="dxa"/>
          </w:tcPr>
          <w:p w14:paraId="0A34414D" w14:textId="43F27C81" w:rsidR="00567B3C" w:rsidRDefault="00567B3C" w:rsidP="00567B3C">
            <w:r>
              <w:t>Meetings smart nachbereiten: KI kann bereits</w:t>
            </w:r>
            <w:r>
              <w:t xml:space="preserve"> </w:t>
            </w:r>
            <w:r>
              <w:t>während des Meetings Notizen erstellen, To‐dos</w:t>
            </w:r>
            <w:r>
              <w:t xml:space="preserve"> </w:t>
            </w:r>
            <w:r>
              <w:t>extrahieren und priorisieren. Fehlt nur noch, bei</w:t>
            </w:r>
            <w:r>
              <w:t xml:space="preserve"> </w:t>
            </w:r>
            <w:r>
              <w:t>Meeting‐Ende die Infos kurz zu prüfen, wenn nötig</w:t>
            </w:r>
            <w:r>
              <w:t xml:space="preserve"> </w:t>
            </w:r>
            <w:r>
              <w:t>zu ergänzen und zu verteilen – so liegen Ergebnisse</w:t>
            </w:r>
            <w:r>
              <w:t xml:space="preserve"> </w:t>
            </w:r>
            <w:r>
              <w:t>in Minuten vor und der Aufwand bleibt minimal.</w:t>
            </w:r>
          </w:p>
        </w:tc>
        <w:tc>
          <w:tcPr>
            <w:tcW w:w="1134" w:type="dxa"/>
          </w:tcPr>
          <w:p w14:paraId="017506F1" w14:textId="5690AC10" w:rsidR="00567B3C" w:rsidRDefault="00567B3C" w:rsidP="00EE5D5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567B3C" w:rsidRPr="00C9751C" w14:paraId="237B1833" w14:textId="77777777" w:rsidTr="00382006">
        <w:tc>
          <w:tcPr>
            <w:tcW w:w="6449" w:type="dxa"/>
            <w:shd w:val="clear" w:color="auto" w:fill="FAE2D5" w:themeFill="accent2" w:themeFillTint="33"/>
          </w:tcPr>
          <w:p w14:paraId="796D1F38" w14:textId="5398051A" w:rsidR="00567B3C" w:rsidRPr="00C9751C" w:rsidRDefault="00567B3C" w:rsidP="00382006">
            <w:pPr>
              <w:rPr>
                <w:color w:val="501549" w:themeColor="accent5" w:themeShade="80"/>
              </w:rPr>
            </w:pPr>
            <w:r>
              <w:rPr>
                <w:b/>
                <w:bCs/>
                <w:color w:val="501549" w:themeColor="accent5" w:themeShade="80"/>
              </w:rPr>
              <w:t>DO</w:t>
            </w:r>
            <w:r>
              <w:rPr>
                <w:b/>
                <w:bCs/>
                <w:color w:val="501549" w:themeColor="accent5" w:themeShade="80"/>
              </w:rPr>
              <w:t>N‘TS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6A5394A9" w14:textId="77777777" w:rsidR="00567B3C" w:rsidRPr="00EE5D5C" w:rsidRDefault="00567B3C" w:rsidP="00382006">
            <w:pPr>
              <w:rPr>
                <w:b/>
                <w:bCs/>
                <w:color w:val="501549" w:themeColor="accent5" w:themeShade="80"/>
              </w:rPr>
            </w:pPr>
          </w:p>
        </w:tc>
      </w:tr>
      <w:tr w:rsidR="00567B3C" w14:paraId="04D06E33" w14:textId="77777777" w:rsidTr="005639AB">
        <w:tc>
          <w:tcPr>
            <w:tcW w:w="6449" w:type="dxa"/>
          </w:tcPr>
          <w:p w14:paraId="728A2FFB" w14:textId="264E0D50" w:rsidR="00567B3C" w:rsidRDefault="00567B3C" w:rsidP="00567B3C">
            <w:r>
              <w:t>Kamera- oder Augenkontakt-Zwang als Respekt</w:t>
            </w:r>
            <w:r>
              <w:t xml:space="preserve"> </w:t>
            </w:r>
            <w:r>
              <w:t>verkaufen: Eine konzentrierte Präsenz bei Meetings</w:t>
            </w:r>
            <w:r>
              <w:t xml:space="preserve"> </w:t>
            </w:r>
            <w:r>
              <w:t>kann nicht dadurch erreicht werden, dass von den</w:t>
            </w:r>
            <w:r>
              <w:t xml:space="preserve"> </w:t>
            </w:r>
            <w:r>
              <w:t>Teilnehmenden erwartet wird, ständig frontal im</w:t>
            </w:r>
            <w:r>
              <w:t xml:space="preserve"> </w:t>
            </w:r>
            <w:r>
              <w:t>Kamerabild fixiert zu bleiben. Für viele Personen ist</w:t>
            </w:r>
            <w:r>
              <w:t xml:space="preserve"> </w:t>
            </w:r>
            <w:r>
              <w:t>das unnatürlich oder gar belastend. Echte Präsenz</w:t>
            </w:r>
            <w:r>
              <w:t xml:space="preserve"> </w:t>
            </w:r>
            <w:r>
              <w:t>kann vielfältig sein.</w:t>
            </w:r>
          </w:p>
        </w:tc>
        <w:tc>
          <w:tcPr>
            <w:tcW w:w="1134" w:type="dxa"/>
          </w:tcPr>
          <w:p w14:paraId="08A6DFC6" w14:textId="0725C7B8" w:rsidR="00567B3C" w:rsidRDefault="00567B3C" w:rsidP="00EE5D5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567B3C" w14:paraId="03B44A76" w14:textId="77777777" w:rsidTr="005639AB">
        <w:tc>
          <w:tcPr>
            <w:tcW w:w="6449" w:type="dxa"/>
          </w:tcPr>
          <w:p w14:paraId="7724F32E" w14:textId="675ADE6B" w:rsidR="00567B3C" w:rsidRDefault="00567B3C" w:rsidP="00567B3C">
            <w:r>
              <w:t>Alle über einen Kamm scheren: Was wie Fairness</w:t>
            </w:r>
            <w:r>
              <w:t xml:space="preserve"> </w:t>
            </w:r>
            <w:r>
              <w:t>aussieht, kann unfaire Effekte haben. Ohne Raum</w:t>
            </w:r>
            <w:r>
              <w:t xml:space="preserve"> </w:t>
            </w:r>
            <w:r>
              <w:t>für verschiedene Arbeitsweisen und Komfortzonen</w:t>
            </w:r>
            <w:r>
              <w:t xml:space="preserve"> </w:t>
            </w:r>
            <w:r>
              <w:t>verliert ein Team wichtige Stimmen und Ideen.</w:t>
            </w:r>
          </w:p>
        </w:tc>
        <w:tc>
          <w:tcPr>
            <w:tcW w:w="1134" w:type="dxa"/>
          </w:tcPr>
          <w:p w14:paraId="59688BAC" w14:textId="4F6B9285" w:rsidR="00567B3C" w:rsidRDefault="00567B3C" w:rsidP="00EE5D5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567B3C" w14:paraId="441EC98F" w14:textId="77777777" w:rsidTr="005639AB">
        <w:tc>
          <w:tcPr>
            <w:tcW w:w="6449" w:type="dxa"/>
          </w:tcPr>
          <w:p w14:paraId="21CD0C5C" w14:textId="74B0CA53" w:rsidR="00567B3C" w:rsidRDefault="00567B3C" w:rsidP="00567B3C">
            <w:r>
              <w:t>Technische Hürden kleinreden: Wird Rauschen</w:t>
            </w:r>
            <w:r>
              <w:t xml:space="preserve"> </w:t>
            </w:r>
            <w:r>
              <w:t>oder Verzögerung nicht ernst genommen, sinken</w:t>
            </w:r>
            <w:r>
              <w:t xml:space="preserve"> </w:t>
            </w:r>
            <w:r>
              <w:t>Aufmerksamkeit und Vertrauen. Gute Technik dagegen</w:t>
            </w:r>
            <w:r>
              <w:t xml:space="preserve"> </w:t>
            </w:r>
            <w:r>
              <w:t>macht Austausch angenehmer und effektiver</w:t>
            </w:r>
          </w:p>
        </w:tc>
        <w:tc>
          <w:tcPr>
            <w:tcW w:w="1134" w:type="dxa"/>
          </w:tcPr>
          <w:p w14:paraId="714348D5" w14:textId="6CE0C664" w:rsidR="00567B3C" w:rsidRDefault="00567B3C" w:rsidP="00EE5D5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567B3C" w14:paraId="47E896A7" w14:textId="77777777" w:rsidTr="005639AB">
        <w:tc>
          <w:tcPr>
            <w:tcW w:w="6449" w:type="dxa"/>
          </w:tcPr>
          <w:p w14:paraId="0A14AA2B" w14:textId="16E91011" w:rsidR="00567B3C" w:rsidRDefault="00567B3C" w:rsidP="00567B3C">
            <w:r>
              <w:t>Meetings nur als Agenda-Verwaltung nutzen:</w:t>
            </w:r>
            <w:r>
              <w:t xml:space="preserve"> </w:t>
            </w:r>
            <w:r>
              <w:t>To‐dos abhaken reicht nicht. Ohne soziale Momente</w:t>
            </w:r>
            <w:r>
              <w:t xml:space="preserve"> </w:t>
            </w:r>
            <w:r>
              <w:t>und Raum fürs Zwischenmenschliche bleibt Zusammenarbeit</w:t>
            </w:r>
            <w:r>
              <w:t xml:space="preserve"> </w:t>
            </w:r>
            <w:r>
              <w:t>funktional, aber nicht verbindend.</w:t>
            </w:r>
          </w:p>
        </w:tc>
        <w:tc>
          <w:tcPr>
            <w:tcW w:w="1134" w:type="dxa"/>
          </w:tcPr>
          <w:p w14:paraId="187DCDB2" w14:textId="0627CE83" w:rsidR="00567B3C" w:rsidRDefault="00567B3C" w:rsidP="00EE5D5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</w:tbl>
    <w:p w14:paraId="07BDDA59" w14:textId="77777777" w:rsidR="005639AB" w:rsidRDefault="005639AB" w:rsidP="005639AB">
      <w:pPr>
        <w:rPr>
          <w:b/>
          <w:bCs/>
        </w:rPr>
      </w:pPr>
    </w:p>
    <w:sectPr w:rsidR="005639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862"/>
    <w:rsid w:val="00101D71"/>
    <w:rsid w:val="00153B61"/>
    <w:rsid w:val="00230DF9"/>
    <w:rsid w:val="002D0B63"/>
    <w:rsid w:val="00326CE9"/>
    <w:rsid w:val="004011D4"/>
    <w:rsid w:val="005639AB"/>
    <w:rsid w:val="00567B3C"/>
    <w:rsid w:val="005C5403"/>
    <w:rsid w:val="007113A5"/>
    <w:rsid w:val="007240F0"/>
    <w:rsid w:val="007F2850"/>
    <w:rsid w:val="008E3862"/>
    <w:rsid w:val="009660D5"/>
    <w:rsid w:val="00AB2CC7"/>
    <w:rsid w:val="00C06168"/>
    <w:rsid w:val="00C95C93"/>
    <w:rsid w:val="00C9751C"/>
    <w:rsid w:val="00EE5D5C"/>
    <w:rsid w:val="00F0079C"/>
    <w:rsid w:val="00F0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FE51"/>
  <w15:chartTrackingRefBased/>
  <w15:docId w15:val="{E95EB60B-A22D-49CF-A106-571B3A4A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3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3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38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38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38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38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38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38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38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3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3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38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38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38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38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38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38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38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3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3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38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38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3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38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38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38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3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38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386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D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2026-03-18T16:24:00Z</dcterms:created>
  <dcterms:modified xsi:type="dcterms:W3CDTF">2026-03-18T16:26:00Z</dcterms:modified>
</cp:coreProperties>
</file>